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FA380" w14:textId="1E71CB6A" w:rsidR="004E07A3" w:rsidRDefault="004E07A3" w:rsidP="004E07A3">
      <w:pPr>
        <w:rPr>
          <w:lang w:val="da-DK"/>
        </w:rPr>
      </w:pPr>
      <w:r w:rsidRPr="004E07A3">
        <w:rPr>
          <w:b/>
          <w:lang w:val="da-DK"/>
        </w:rPr>
        <w:drawing>
          <wp:inline distT="0" distB="0" distL="0" distR="0" wp14:anchorId="0E955A9B" wp14:editId="0483CAD0">
            <wp:extent cx="6309360" cy="1763395"/>
            <wp:effectExtent l="0" t="0" r="0" b="8255"/>
            <wp:docPr id="1345115186"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115186" name=""/>
                    <pic:cNvPicPr/>
                  </pic:nvPicPr>
                  <pic:blipFill>
                    <a:blip r:embed="rId6"/>
                    <a:stretch>
                      <a:fillRect/>
                    </a:stretch>
                  </pic:blipFill>
                  <pic:spPr>
                    <a:xfrm>
                      <a:off x="0" y="0"/>
                      <a:ext cx="6309360" cy="1763395"/>
                    </a:xfrm>
                    <a:prstGeom prst="rect">
                      <a:avLst/>
                    </a:prstGeom>
                  </pic:spPr>
                </pic:pic>
              </a:graphicData>
            </a:graphic>
          </wp:inline>
        </w:drawing>
      </w:r>
    </w:p>
    <w:p w14:paraId="24346D5B" w14:textId="77777777" w:rsidR="004E07A3" w:rsidRDefault="004E07A3" w:rsidP="004E07A3">
      <w:pPr>
        <w:rPr>
          <w:lang w:val="da-DK"/>
        </w:rPr>
      </w:pPr>
    </w:p>
    <w:p w14:paraId="550035DA" w14:textId="3FCAA2C1" w:rsidR="005A083A" w:rsidRPr="00F43B5A" w:rsidRDefault="00AA14F8" w:rsidP="00AA14F8">
      <w:pPr>
        <w:rPr>
          <w:lang w:val="da-DK"/>
        </w:rPr>
      </w:pPr>
      <w:r>
        <w:rPr>
          <w:i/>
          <w:lang w:val="da-DK"/>
        </w:rPr>
        <w:t>Et små</w:t>
      </w:r>
      <w:r w:rsidRPr="00F43B5A">
        <w:rPr>
          <w:i/>
          <w:lang w:val="da-DK"/>
        </w:rPr>
        <w:t xml:space="preserve">gruppemateriale </w:t>
      </w:r>
      <w:r>
        <w:rPr>
          <w:i/>
          <w:lang w:val="da-DK"/>
        </w:rPr>
        <w:t>til fadervor:</w:t>
      </w:r>
      <w:r w:rsidRPr="00F43B5A">
        <w:rPr>
          <w:i/>
          <w:lang w:val="da-DK"/>
        </w:rPr>
        <w:t xml:space="preserve"> </w:t>
      </w:r>
      <w:r w:rsidR="00F43B5A">
        <w:rPr>
          <w:i/>
          <w:lang w:val="da-DK"/>
        </w:rPr>
        <w:t>”</w:t>
      </w:r>
      <w:r w:rsidRPr="00F43B5A">
        <w:rPr>
          <w:i/>
          <w:lang w:val="da-DK"/>
        </w:rPr>
        <w:t>Vor Fader, du som er i himlene, helliget blive dit navn</w:t>
      </w:r>
    </w:p>
    <w:p w14:paraId="041EC165" w14:textId="77777777" w:rsidR="005A083A" w:rsidRPr="00F43B5A" w:rsidRDefault="00000000" w:rsidP="00AA14F8">
      <w:pPr>
        <w:pStyle w:val="Overskrift2"/>
        <w:rPr>
          <w:lang w:val="da-DK"/>
        </w:rPr>
      </w:pPr>
      <w:r w:rsidRPr="00F43B5A">
        <w:rPr>
          <w:lang w:val="da-DK"/>
        </w:rPr>
        <w:t>1. Optakt til teksten</w:t>
      </w:r>
    </w:p>
    <w:p w14:paraId="3C0D1061" w14:textId="77777777" w:rsidR="00F43B5A" w:rsidRDefault="00F43B5A">
      <w:pPr>
        <w:rPr>
          <w:lang w:val="da-DK"/>
        </w:rPr>
      </w:pPr>
      <w:r>
        <w:rPr>
          <w:lang w:val="da-DK"/>
        </w:rPr>
        <w:t>Dette smågruppemateriale bygger på en prædikeserie</w:t>
      </w:r>
      <w:r w:rsidRPr="00F43B5A">
        <w:rPr>
          <w:lang w:val="da-DK"/>
        </w:rPr>
        <w:t xml:space="preserve"> </w:t>
      </w:r>
      <w:r>
        <w:rPr>
          <w:lang w:val="da-DK"/>
        </w:rPr>
        <w:t xml:space="preserve">om fadervor. Fadervor </w:t>
      </w:r>
      <w:r w:rsidRPr="00F43B5A">
        <w:rPr>
          <w:lang w:val="da-DK"/>
        </w:rPr>
        <w:t>handler om, hvordan Jesus lærer os at bede – ikke ved at give os nogle teknikker</w:t>
      </w:r>
      <w:r>
        <w:rPr>
          <w:lang w:val="da-DK"/>
        </w:rPr>
        <w:t xml:space="preserve"> og magiske ord og formularer som vil få Gud til at gøre som vi vil</w:t>
      </w:r>
      <w:r w:rsidRPr="00F43B5A">
        <w:rPr>
          <w:lang w:val="da-DK"/>
        </w:rPr>
        <w:t xml:space="preserve">, men ved at vende vores blik mod </w:t>
      </w:r>
      <w:r>
        <w:rPr>
          <w:lang w:val="da-DK"/>
        </w:rPr>
        <w:t>ham, indse</w:t>
      </w:r>
      <w:r w:rsidRPr="00F43B5A">
        <w:rPr>
          <w:lang w:val="da-DK"/>
        </w:rPr>
        <w:t xml:space="preserve"> </w:t>
      </w:r>
      <w:r>
        <w:rPr>
          <w:lang w:val="da-DK"/>
        </w:rPr>
        <w:t xml:space="preserve">hvem </w:t>
      </w:r>
      <w:r w:rsidRPr="00F43B5A">
        <w:rPr>
          <w:lang w:val="da-DK"/>
        </w:rPr>
        <w:t>han er, hvem vi er for ham</w:t>
      </w:r>
      <w:r>
        <w:rPr>
          <w:lang w:val="da-DK"/>
        </w:rPr>
        <w:t xml:space="preserve"> og ud af det bede for det vi er optaget af</w:t>
      </w:r>
      <w:r w:rsidRPr="00F43B5A">
        <w:rPr>
          <w:lang w:val="da-DK"/>
        </w:rPr>
        <w:t xml:space="preserve">. </w:t>
      </w:r>
    </w:p>
    <w:p w14:paraId="2AEDE0F6" w14:textId="6B4ABE64" w:rsidR="005A083A" w:rsidRPr="00AA14F8" w:rsidRDefault="00F43B5A">
      <w:pPr>
        <w:rPr>
          <w:b/>
          <w:bCs/>
          <w:lang w:val="da-DK"/>
        </w:rPr>
      </w:pPr>
      <w:r>
        <w:rPr>
          <w:lang w:val="da-DK"/>
        </w:rPr>
        <w:t>Begynd med at læse</w:t>
      </w:r>
      <w:r w:rsidRPr="00F43B5A">
        <w:rPr>
          <w:lang w:val="da-DK"/>
        </w:rPr>
        <w:t xml:space="preserve"> </w:t>
      </w:r>
      <w:r w:rsidR="00AA14F8" w:rsidRPr="00F43B5A">
        <w:rPr>
          <w:b/>
          <w:bCs/>
          <w:lang w:val="da-DK"/>
        </w:rPr>
        <w:t>Matthæusevangeliet 6,9</w:t>
      </w:r>
      <w:r w:rsidR="00AA14F8">
        <w:rPr>
          <w:b/>
          <w:bCs/>
          <w:lang w:val="da-DK"/>
        </w:rPr>
        <w:t xml:space="preserve"> </w:t>
      </w:r>
      <w:r w:rsidRPr="00F43B5A">
        <w:rPr>
          <w:lang w:val="da-DK"/>
        </w:rPr>
        <w:t>højt sammen, før I går videre til spørgsmålene.</w:t>
      </w:r>
    </w:p>
    <w:p w14:paraId="4E6DB534" w14:textId="77777777" w:rsidR="005A083A" w:rsidRPr="00F43B5A" w:rsidRDefault="00000000" w:rsidP="00AA14F8">
      <w:pPr>
        <w:pStyle w:val="Overskrift2"/>
        <w:rPr>
          <w:lang w:val="da-DK"/>
        </w:rPr>
      </w:pPr>
      <w:r w:rsidRPr="00F43B5A">
        <w:rPr>
          <w:lang w:val="da-DK"/>
        </w:rPr>
        <w:t>2. Spørgsmål til samtale</w:t>
      </w:r>
    </w:p>
    <w:p w14:paraId="61CD722B" w14:textId="1388A087" w:rsidR="005A083A" w:rsidRPr="00F43B5A" w:rsidRDefault="00000000">
      <w:pPr>
        <w:keepNext/>
        <w:rPr>
          <w:lang w:val="da-DK"/>
        </w:rPr>
      </w:pPr>
      <w:r w:rsidRPr="00F43B5A">
        <w:rPr>
          <w:b/>
          <w:lang w:val="da-DK"/>
        </w:rPr>
        <w:t>1. Hvad er bøn for os?</w:t>
      </w:r>
    </w:p>
    <w:p w14:paraId="21A1CA24" w14:textId="77777777" w:rsidR="005A083A" w:rsidRPr="00F43B5A" w:rsidRDefault="00000000">
      <w:pPr>
        <w:rPr>
          <w:lang w:val="da-DK"/>
        </w:rPr>
      </w:pPr>
      <w:r w:rsidRPr="00F43B5A">
        <w:rPr>
          <w:lang w:val="da-DK"/>
        </w:rPr>
        <w:t>Prædikenen begynder med spørgsmålet om, hvilken plads bøn har i vores liv. Fadervor kan blive en vane, vi siger hurtigt, men Jesus vil lære os at bede på en måde, der omfatter hele livet. Hvad kendetegner din bøn lige nu, og hvad længes du efter, at den skal blive til?</w:t>
      </w:r>
    </w:p>
    <w:p w14:paraId="56D49DD8" w14:textId="1C23A077" w:rsidR="005A083A" w:rsidRPr="00F43B5A" w:rsidRDefault="00000000">
      <w:pPr>
        <w:keepNext/>
        <w:rPr>
          <w:lang w:val="da-DK"/>
        </w:rPr>
      </w:pPr>
      <w:r w:rsidRPr="00F43B5A">
        <w:rPr>
          <w:b/>
          <w:lang w:val="da-DK"/>
        </w:rPr>
        <w:t xml:space="preserve">2. </w:t>
      </w:r>
      <w:r w:rsidR="00AA14F8">
        <w:rPr>
          <w:b/>
          <w:lang w:val="da-DK"/>
        </w:rPr>
        <w:t>Hvad</w:t>
      </w:r>
      <w:r w:rsidRPr="00F43B5A">
        <w:rPr>
          <w:b/>
          <w:lang w:val="da-DK"/>
        </w:rPr>
        <w:t xml:space="preserve"> </w:t>
      </w:r>
      <w:r w:rsidR="00AA14F8">
        <w:rPr>
          <w:b/>
          <w:lang w:val="da-DK"/>
        </w:rPr>
        <w:t>ligger dig f</w:t>
      </w:r>
      <w:r w:rsidRPr="00F43B5A">
        <w:rPr>
          <w:b/>
          <w:lang w:val="da-DK"/>
        </w:rPr>
        <w:t>aktisk på sinde</w:t>
      </w:r>
      <w:r w:rsidR="00AA14F8">
        <w:rPr>
          <w:b/>
          <w:lang w:val="da-DK"/>
        </w:rPr>
        <w:t>?</w:t>
      </w:r>
    </w:p>
    <w:p w14:paraId="35B84E59" w14:textId="77777777" w:rsidR="005A083A" w:rsidRDefault="00000000">
      <w:r>
        <w:t>Dallas Willard skriver i The Divine Conspiracy:</w:t>
      </w:r>
    </w:p>
    <w:p w14:paraId="7AA26EDD" w14:textId="77777777" w:rsidR="005A083A" w:rsidRDefault="00000000">
      <w:r>
        <w:t>“I am to pray for what concerns me, and many people have found prayer impossible because they thought they should only pray for wonderful but remote needs they actually had little or no interest in or even knowledge of. Prayer simply dies from efforts to pray about good things that honestly do not matter to us. The way to get to meaningful prayer for those good things is to start by praying for what we are truly interested in. The circle of our interests will inevitably grow in the largeness of God’s love.”</w:t>
      </w:r>
    </w:p>
    <w:p w14:paraId="6FA1380E" w14:textId="64BADA44" w:rsidR="00AA14F8" w:rsidRDefault="00AA14F8" w:rsidP="00AA14F8">
      <w:pPr>
        <w:rPr>
          <w:lang w:val="da-DK"/>
        </w:rPr>
      </w:pPr>
      <w:r>
        <w:rPr>
          <w:lang w:val="da-DK"/>
        </w:rPr>
        <w:t>Kan du relatere til tanken om ”from bøn frem for autentisk?”</w:t>
      </w:r>
      <w:r w:rsidRPr="00F43B5A">
        <w:rPr>
          <w:lang w:val="da-DK"/>
        </w:rPr>
        <w:t xml:space="preserve"> </w:t>
      </w:r>
      <w:r>
        <w:rPr>
          <w:lang w:val="da-DK"/>
        </w:rPr>
        <w:t xml:space="preserve">Føler du, at </w:t>
      </w:r>
      <w:r w:rsidRPr="00F43B5A">
        <w:rPr>
          <w:lang w:val="da-DK"/>
        </w:rPr>
        <w:t xml:space="preserve">du må </w:t>
      </w:r>
      <w:r>
        <w:rPr>
          <w:lang w:val="da-DK"/>
        </w:rPr>
        <w:t>bede</w:t>
      </w:r>
      <w:r w:rsidRPr="00F43B5A">
        <w:rPr>
          <w:lang w:val="da-DK"/>
        </w:rPr>
        <w:t xml:space="preserve"> </w:t>
      </w:r>
      <w:r>
        <w:rPr>
          <w:lang w:val="da-DK"/>
        </w:rPr>
        <w:t>for det</w:t>
      </w:r>
      <w:r w:rsidRPr="00F43B5A">
        <w:rPr>
          <w:lang w:val="da-DK"/>
        </w:rPr>
        <w:t xml:space="preserve">, der reelt fylder? </w:t>
      </w:r>
    </w:p>
    <w:p w14:paraId="1BC7BD80" w14:textId="4652C01F" w:rsidR="005A083A" w:rsidRPr="00F43B5A" w:rsidRDefault="00000000" w:rsidP="00AA14F8">
      <w:pPr>
        <w:rPr>
          <w:lang w:val="da-DK"/>
        </w:rPr>
      </w:pPr>
      <w:r w:rsidRPr="00F43B5A">
        <w:rPr>
          <w:b/>
          <w:lang w:val="da-DK"/>
        </w:rPr>
        <w:t>3. “Vor Fa</w:t>
      </w:r>
      <w:r w:rsidR="00F43B5A">
        <w:rPr>
          <w:b/>
          <w:lang w:val="da-DK"/>
        </w:rPr>
        <w:t>r</w:t>
      </w:r>
      <w:r w:rsidRPr="00F43B5A">
        <w:rPr>
          <w:b/>
          <w:lang w:val="da-DK"/>
        </w:rPr>
        <w:t>” – hvad fortæller tiltalen os?</w:t>
      </w:r>
    </w:p>
    <w:p w14:paraId="58BDAB45" w14:textId="77777777" w:rsidR="005A083A" w:rsidRPr="00F43B5A" w:rsidRDefault="00000000">
      <w:pPr>
        <w:rPr>
          <w:lang w:val="da-DK"/>
        </w:rPr>
      </w:pPr>
      <w:r w:rsidRPr="00F43B5A">
        <w:rPr>
          <w:lang w:val="da-DK"/>
        </w:rPr>
        <w:t>Prædikenen peger på, at vores tiltale af Gud siger noget om vores relation til ham. Jesus lærer os at kalde Gud “Abba” – far – og gennem Jesus får vi status som Guds børn, ikke som fremmede, klienter eller slaver. Hvad betyder det for dig, at du må komme til Gud som et elsket barn? Er det let eller svært at tro på?</w:t>
      </w:r>
    </w:p>
    <w:p w14:paraId="7F6052C0" w14:textId="77777777" w:rsidR="005A083A" w:rsidRPr="00F43B5A" w:rsidRDefault="00000000">
      <w:pPr>
        <w:keepNext/>
        <w:rPr>
          <w:lang w:val="da-DK"/>
        </w:rPr>
      </w:pPr>
      <w:r w:rsidRPr="00F43B5A">
        <w:rPr>
          <w:b/>
          <w:lang w:val="da-DK"/>
        </w:rPr>
        <w:t>4. Gud er en far, der tager sig af sine børn</w:t>
      </w:r>
    </w:p>
    <w:p w14:paraId="2D53840A" w14:textId="77777777" w:rsidR="005A083A" w:rsidRPr="00F43B5A" w:rsidRDefault="00000000">
      <w:pPr>
        <w:rPr>
          <w:lang w:val="da-DK"/>
        </w:rPr>
      </w:pPr>
      <w:r w:rsidRPr="00F43B5A">
        <w:rPr>
          <w:lang w:val="da-DK"/>
        </w:rPr>
        <w:t>Jens Ole Christensen skriver i Dyb hvile og dynamisk liv:</w:t>
      </w:r>
    </w:p>
    <w:p w14:paraId="77FD49DF" w14:textId="77777777" w:rsidR="005A083A" w:rsidRPr="00F43B5A" w:rsidRDefault="00000000">
      <w:pPr>
        <w:rPr>
          <w:lang w:val="da-DK"/>
        </w:rPr>
      </w:pPr>
      <w:r w:rsidRPr="00F43B5A">
        <w:rPr>
          <w:lang w:val="da-DK"/>
        </w:rPr>
        <w:t>“Vi beder til en far – og vel at mærke en far, der overskrider vores begreber om fædre. Faderen er optaget af, at barnet har det godt, er syg om hjertet når barnet lider. Helt ude på kanten af et barns sygdom eller lidelser kender forældre en ubeskrivelig følelse, som man selv skal opleve for helt at tro: bare det var mig, der var syg...”</w:t>
      </w:r>
    </w:p>
    <w:p w14:paraId="4B07F2D6" w14:textId="77777777" w:rsidR="005A083A" w:rsidRPr="00F43B5A" w:rsidRDefault="00000000">
      <w:pPr>
        <w:rPr>
          <w:lang w:val="da-DK"/>
        </w:rPr>
      </w:pPr>
      <w:r w:rsidRPr="00F43B5A">
        <w:rPr>
          <w:lang w:val="da-DK"/>
        </w:rPr>
        <w:t>Hvad hjælper citatet dig til at se om Guds omsorg? Hvis ordet “far” er svært for dig, hvad kan så hjælpe dig til at høre Jesu invitation uden at lade dine egne erfaringer sætte grænsen for, hvem Gud er?</w:t>
      </w:r>
    </w:p>
    <w:p w14:paraId="0AFBDB48" w14:textId="77777777" w:rsidR="005A083A" w:rsidRPr="00F43B5A" w:rsidRDefault="00000000">
      <w:pPr>
        <w:keepNext/>
        <w:rPr>
          <w:lang w:val="da-DK"/>
        </w:rPr>
      </w:pPr>
      <w:r w:rsidRPr="00F43B5A">
        <w:rPr>
          <w:b/>
          <w:lang w:val="da-DK"/>
        </w:rPr>
        <w:t>5. “Du som er i himlene” – Gud er både højt ophøjet og nær</w:t>
      </w:r>
    </w:p>
    <w:p w14:paraId="7B17FCF8" w14:textId="77777777" w:rsidR="005A083A" w:rsidRPr="00F43B5A" w:rsidRDefault="00000000">
      <w:pPr>
        <w:rPr>
          <w:lang w:val="da-DK"/>
        </w:rPr>
      </w:pPr>
      <w:r w:rsidRPr="00F43B5A">
        <w:rPr>
          <w:lang w:val="da-DK"/>
        </w:rPr>
        <w:t>Jens Ole Christensen skriver i Dyb hvile og dynamisk liv: “Den store frihed og tryghed i fadervor er, at den Gud, vi beder til, har en dobbelt adresse, han bor i det højeste, og han bor helt tæt på os og er midt i vores nød”.</w:t>
      </w:r>
    </w:p>
    <w:p w14:paraId="6250AF8D" w14:textId="77777777" w:rsidR="005A083A" w:rsidRPr="00F43B5A" w:rsidRDefault="00000000">
      <w:pPr>
        <w:rPr>
          <w:lang w:val="da-DK"/>
        </w:rPr>
      </w:pPr>
      <w:r w:rsidRPr="00F43B5A">
        <w:rPr>
          <w:lang w:val="da-DK"/>
        </w:rPr>
        <w:lastRenderedPageBreak/>
        <w:t>Prædikenen understreger, at Gud både er større end os og helt nærværende. Når Gud føles langt væk, eller vi ikke får det, vi beder om, må vi gerne blive ved med at råbe, klage og vende tilbage til ham. Hvad betyder det for dig, at du må komme til Gud også med smerte, tvivl og ubesvarede spørgsmål?</w:t>
      </w:r>
    </w:p>
    <w:p w14:paraId="4C6B9EFF" w14:textId="77777777" w:rsidR="005A083A" w:rsidRPr="00F43B5A" w:rsidRDefault="00000000">
      <w:pPr>
        <w:keepNext/>
        <w:rPr>
          <w:lang w:val="da-DK"/>
        </w:rPr>
      </w:pPr>
      <w:r w:rsidRPr="00F43B5A">
        <w:rPr>
          <w:b/>
          <w:lang w:val="da-DK"/>
        </w:rPr>
        <w:t>6. “Helliget blive dit navn” – at ønske Gud ære</w:t>
      </w:r>
    </w:p>
    <w:p w14:paraId="57BF7041" w14:textId="77777777" w:rsidR="005A083A" w:rsidRDefault="00000000">
      <w:r w:rsidRPr="00F43B5A">
        <w:rPr>
          <w:lang w:val="da-DK"/>
        </w:rPr>
        <w:t xml:space="preserve">At Guds navn bliver helliget, handler om, at han bliver kendt, anerkendt og æret – i vores liv og i verden. </w:t>
      </w:r>
      <w:r>
        <w:t>Dallas Willard skriver i The Divine Conspiracy:</w:t>
      </w:r>
    </w:p>
    <w:p w14:paraId="664262B9" w14:textId="77777777" w:rsidR="005A083A" w:rsidRPr="00F43B5A" w:rsidRDefault="00000000">
      <w:pPr>
        <w:rPr>
          <w:lang w:val="da-DK"/>
        </w:rPr>
      </w:pPr>
      <w:r>
        <w:t xml:space="preserve">“The cosmic significance of the first request (Hallowed be thy name) must not hide the fact that it is also the natural request of a child who loves its ‘abba’, its Daddy. How a child’s heart is wounded to hear its parents, mother or father, dishonoured or to see them attacked. </w:t>
      </w:r>
      <w:r w:rsidRPr="00F43B5A">
        <w:rPr>
          <w:lang w:val="da-DK"/>
        </w:rPr>
        <w:t>It is the prayer of an adoring child.”</w:t>
      </w:r>
    </w:p>
    <w:p w14:paraId="1BD24FBE" w14:textId="77777777" w:rsidR="005A083A" w:rsidRPr="00F43B5A" w:rsidRDefault="00000000">
      <w:pPr>
        <w:rPr>
          <w:lang w:val="da-DK"/>
        </w:rPr>
      </w:pPr>
      <w:r w:rsidRPr="00F43B5A">
        <w:rPr>
          <w:lang w:val="da-DK"/>
        </w:rPr>
        <w:t>Hvordan hænger ønsket om, at Gud bliver æret, sammen med kærligheden til ham? Hvor kunne dit liv være med til at vise andre, hvem Gud er – den far, der tager sig af sine børn, og den Gud, der frelser og fornyer?</w:t>
      </w:r>
    </w:p>
    <w:p w14:paraId="6E49DB27" w14:textId="77777777" w:rsidR="005A083A" w:rsidRPr="00F43B5A" w:rsidRDefault="00000000" w:rsidP="00AA14F8">
      <w:pPr>
        <w:pStyle w:val="Overskrift2"/>
        <w:rPr>
          <w:lang w:val="da-DK"/>
        </w:rPr>
      </w:pPr>
      <w:r w:rsidRPr="00F43B5A">
        <w:rPr>
          <w:lang w:val="da-DK"/>
        </w:rPr>
        <w:t>3. Applicering</w:t>
      </w:r>
    </w:p>
    <w:p w14:paraId="22694AAD" w14:textId="77777777" w:rsidR="005A083A" w:rsidRPr="00F43B5A" w:rsidRDefault="00000000">
      <w:pPr>
        <w:rPr>
          <w:lang w:val="da-DK"/>
        </w:rPr>
      </w:pPr>
      <w:r w:rsidRPr="00F43B5A">
        <w:rPr>
          <w:lang w:val="da-DK"/>
        </w:rPr>
        <w:t>I den kommende uge kan du prøve at bede Fadervors første ord langsomt én gang om dagen: “Vor Fader, du som er i himlene. Helliget blive dit navn.” Stop ved hvert led, og sig til Gud, hvad ordene vækker i dig – tak, længsel, tvivl eller noget, du har brug for hjælp til. Begynd med det, der faktisk fylder, og lad bønnen åbne dit blik for Guds større kærlighed.</w:t>
      </w:r>
    </w:p>
    <w:p w14:paraId="3C628AB7" w14:textId="77777777" w:rsidR="005A083A" w:rsidRPr="00F43B5A" w:rsidRDefault="00000000">
      <w:pPr>
        <w:rPr>
          <w:lang w:val="da-DK"/>
        </w:rPr>
      </w:pPr>
      <w:r w:rsidRPr="00F43B5A">
        <w:rPr>
          <w:lang w:val="da-DK"/>
        </w:rPr>
        <w:t>Som gruppe kan I afslutte mødet med en enkel bønnerunde. Alle, der har lyst, kan nævne én ting, de ønsker at lægge frem for Gud, og én ting, de længes efter, at Gud må gøre kendt eller æret i deres liv. Bed kort for hinanden, og husk, at man også må komme tilbage til Gud med det samme igen og igen.</w:t>
      </w:r>
    </w:p>
    <w:sectPr w:rsidR="005A083A" w:rsidRPr="00F43B5A"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pstilling-talellerbogs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pstilling-talellerbogs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pstilling-punktteg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pstilling-punktteg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pstilling-talellerbogs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pstilling-punkttegn"/>
      <w:lvlText w:val=""/>
      <w:lvlJc w:val="left"/>
      <w:pPr>
        <w:tabs>
          <w:tab w:val="num" w:pos="360"/>
        </w:tabs>
        <w:ind w:left="360" w:hanging="360"/>
      </w:pPr>
      <w:rPr>
        <w:rFonts w:ascii="Symbol" w:hAnsi="Symbol" w:hint="default"/>
      </w:rPr>
    </w:lvl>
  </w:abstractNum>
  <w:num w:numId="1" w16cid:durableId="1883904265">
    <w:abstractNumId w:val="8"/>
  </w:num>
  <w:num w:numId="2" w16cid:durableId="1853831855">
    <w:abstractNumId w:val="6"/>
  </w:num>
  <w:num w:numId="3" w16cid:durableId="1691487737">
    <w:abstractNumId w:val="5"/>
  </w:num>
  <w:num w:numId="4" w16cid:durableId="591360389">
    <w:abstractNumId w:val="4"/>
  </w:num>
  <w:num w:numId="5" w16cid:durableId="231089602">
    <w:abstractNumId w:val="7"/>
  </w:num>
  <w:num w:numId="6" w16cid:durableId="954363913">
    <w:abstractNumId w:val="3"/>
  </w:num>
  <w:num w:numId="7" w16cid:durableId="1421295977">
    <w:abstractNumId w:val="2"/>
  </w:num>
  <w:num w:numId="8" w16cid:durableId="1268392205">
    <w:abstractNumId w:val="1"/>
  </w:num>
  <w:num w:numId="9" w16cid:durableId="1762098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37FF4"/>
    <w:rsid w:val="004E07A3"/>
    <w:rsid w:val="005A083A"/>
    <w:rsid w:val="00AA14F8"/>
    <w:rsid w:val="00AA1D8D"/>
    <w:rsid w:val="00B47730"/>
    <w:rsid w:val="00CB0664"/>
    <w:rsid w:val="00CD1D60"/>
    <w:rsid w:val="00D2371F"/>
    <w:rsid w:val="00F43B5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6E52CA"/>
  <w14:defaultImageDpi w14:val="300"/>
  <w15:docId w15:val="{C17E8D4C-95EF-47FA-8A4D-60274FA46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ptos" w:hAnsi="Aptos"/>
      <w:sz w:val="20"/>
    </w:rPr>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E618BF"/>
    <w:pPr>
      <w:tabs>
        <w:tab w:val="center" w:pos="4680"/>
        <w:tab w:val="right" w:pos="9360"/>
      </w:tabs>
      <w:spacing w:after="0" w:line="240" w:lineRule="auto"/>
    </w:pPr>
  </w:style>
  <w:style w:type="character" w:customStyle="1" w:styleId="SidehovedTegn">
    <w:name w:val="Sidehoved Tegn"/>
    <w:basedOn w:val="Standardskrifttypeiafsnit"/>
    <w:link w:val="Sidehoved"/>
    <w:uiPriority w:val="99"/>
    <w:rsid w:val="00E618BF"/>
  </w:style>
  <w:style w:type="paragraph" w:styleId="Sidefod">
    <w:name w:val="footer"/>
    <w:basedOn w:val="Normal"/>
    <w:link w:val="SidefodTegn"/>
    <w:uiPriority w:val="99"/>
    <w:unhideWhenUsed/>
    <w:rsid w:val="00E618BF"/>
    <w:pPr>
      <w:tabs>
        <w:tab w:val="center" w:pos="4680"/>
        <w:tab w:val="right" w:pos="9360"/>
      </w:tabs>
      <w:spacing w:after="0" w:line="240" w:lineRule="auto"/>
    </w:pPr>
  </w:style>
  <w:style w:type="character" w:customStyle="1" w:styleId="SidefodTegn">
    <w:name w:val="Sidefod Tegn"/>
    <w:basedOn w:val="Standardskrifttypeiafsnit"/>
    <w:link w:val="Sidefod"/>
    <w:uiPriority w:val="99"/>
    <w:rsid w:val="00E618BF"/>
  </w:style>
  <w:style w:type="paragraph" w:styleId="Ingenafstand">
    <w:name w:val="No Spacing"/>
    <w:uiPriority w:val="1"/>
    <w:qFormat/>
    <w:rsid w:val="00FC693F"/>
    <w:pPr>
      <w:spacing w:after="0" w:line="240" w:lineRule="auto"/>
    </w:pPr>
  </w:style>
  <w:style w:type="character" w:customStyle="1" w:styleId="Overskrift1Tegn">
    <w:name w:val="Overskrift 1 Tegn"/>
    <w:basedOn w:val="Standardskrifttypeiafsni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typeiafsni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typeiafsnit"/>
    <w:link w:val="Overskrift3"/>
    <w:uiPriority w:val="9"/>
    <w:rsid w:val="00FC693F"/>
    <w:rPr>
      <w:rFonts w:asciiTheme="majorHAnsi" w:eastAsiaTheme="majorEastAsia" w:hAnsiTheme="majorHAnsi" w:cstheme="majorBidi"/>
      <w:b/>
      <w:bCs/>
      <w:color w:val="4F81BD" w:themeColor="accent1"/>
    </w:rPr>
  </w:style>
  <w:style w:type="paragraph" w:styleId="Titel">
    <w:name w:val="Title"/>
    <w:basedOn w:val="Normal"/>
    <w:next w:val="Normal"/>
    <w:link w:val="Ti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Tegn">
    <w:name w:val="Titel Tegn"/>
    <w:basedOn w:val="Standardskrifttypeiafsni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el">
    <w:name w:val="Subtitle"/>
    <w:basedOn w:val="Normal"/>
    <w:next w:val="Normal"/>
    <w:link w:val="Underti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elTegn">
    <w:name w:val="Undertitel Tegn"/>
    <w:basedOn w:val="Standardskrifttypeiafsnit"/>
    <w:link w:val="U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afsni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typeiafsni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typeiafsni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typeiafsni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Opstilling-punkttegn">
    <w:name w:val="List Bullet"/>
    <w:basedOn w:val="Normal"/>
    <w:uiPriority w:val="99"/>
    <w:unhideWhenUsed/>
    <w:rsid w:val="00326F90"/>
    <w:pPr>
      <w:numPr>
        <w:numId w:val="1"/>
      </w:numPr>
      <w:contextualSpacing/>
    </w:pPr>
  </w:style>
  <w:style w:type="paragraph" w:styleId="Opstilling-punkttegn2">
    <w:name w:val="List Bullet 2"/>
    <w:basedOn w:val="Normal"/>
    <w:uiPriority w:val="99"/>
    <w:unhideWhenUsed/>
    <w:rsid w:val="00326F90"/>
    <w:pPr>
      <w:numPr>
        <w:numId w:val="2"/>
      </w:numPr>
      <w:contextualSpacing/>
    </w:pPr>
  </w:style>
  <w:style w:type="paragraph" w:styleId="Opstilling-punkttegn3">
    <w:name w:val="List Bullet 3"/>
    <w:basedOn w:val="Normal"/>
    <w:uiPriority w:val="99"/>
    <w:unhideWhenUsed/>
    <w:rsid w:val="00326F90"/>
    <w:pPr>
      <w:numPr>
        <w:numId w:val="3"/>
      </w:numPr>
      <w:contextualSpacing/>
    </w:pPr>
  </w:style>
  <w:style w:type="paragraph" w:styleId="Opstilling-talellerbogst">
    <w:name w:val="List Number"/>
    <w:basedOn w:val="Normal"/>
    <w:uiPriority w:val="99"/>
    <w:unhideWhenUsed/>
    <w:rsid w:val="00326F90"/>
    <w:pPr>
      <w:numPr>
        <w:numId w:val="5"/>
      </w:numPr>
      <w:contextualSpacing/>
    </w:pPr>
  </w:style>
  <w:style w:type="paragraph" w:styleId="Opstilling-talellerbogst2">
    <w:name w:val="List Number 2"/>
    <w:basedOn w:val="Normal"/>
    <w:uiPriority w:val="99"/>
    <w:unhideWhenUsed/>
    <w:rsid w:val="0029639D"/>
    <w:pPr>
      <w:numPr>
        <w:numId w:val="6"/>
      </w:numPr>
      <w:contextualSpacing/>
    </w:pPr>
  </w:style>
  <w:style w:type="paragraph" w:styleId="Opstilling-talellerbogst3">
    <w:name w:val="List Number 3"/>
    <w:basedOn w:val="Normal"/>
    <w:uiPriority w:val="99"/>
    <w:unhideWhenUsed/>
    <w:rsid w:val="0029639D"/>
    <w:pPr>
      <w:numPr>
        <w:numId w:val="7"/>
      </w:numPr>
      <w:contextualSpacing/>
    </w:pPr>
  </w:style>
  <w:style w:type="paragraph" w:styleId="Opstilling-forts">
    <w:name w:val="List Continue"/>
    <w:basedOn w:val="Normal"/>
    <w:uiPriority w:val="99"/>
    <w:unhideWhenUsed/>
    <w:rsid w:val="0029639D"/>
    <w:pPr>
      <w:spacing w:after="120"/>
      <w:ind w:left="360"/>
      <w:contextualSpacing/>
    </w:pPr>
  </w:style>
  <w:style w:type="paragraph" w:styleId="Opstilling-forts2">
    <w:name w:val="List Continue 2"/>
    <w:basedOn w:val="Normal"/>
    <w:uiPriority w:val="99"/>
    <w:unhideWhenUsed/>
    <w:rsid w:val="0029639D"/>
    <w:pPr>
      <w:spacing w:after="120"/>
      <w:ind w:left="720"/>
      <w:contextualSpacing/>
    </w:pPr>
  </w:style>
  <w:style w:type="paragraph" w:styleId="Opstilling-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typeiafsnit"/>
    <w:link w:val="Makrotekst"/>
    <w:uiPriority w:val="99"/>
    <w:rsid w:val="0029639D"/>
    <w:rPr>
      <w:rFonts w:ascii="Courier" w:hAnsi="Courier"/>
      <w:sz w:val="20"/>
      <w:szCs w:val="20"/>
    </w:rPr>
  </w:style>
  <w:style w:type="paragraph" w:styleId="Citat">
    <w:name w:val="Quote"/>
    <w:basedOn w:val="Normal"/>
    <w:next w:val="Normal"/>
    <w:link w:val="CitatTegn"/>
    <w:uiPriority w:val="29"/>
    <w:qFormat/>
    <w:rsid w:val="00FC693F"/>
    <w:rPr>
      <w:i/>
      <w:iCs/>
      <w:color w:val="000000" w:themeColor="text1"/>
    </w:rPr>
  </w:style>
  <w:style w:type="character" w:customStyle="1" w:styleId="CitatTegn">
    <w:name w:val="Citat Tegn"/>
    <w:basedOn w:val="Standardskrifttypeiafsnit"/>
    <w:link w:val="Citat"/>
    <w:uiPriority w:val="29"/>
    <w:rsid w:val="00FC693F"/>
    <w:rPr>
      <w:i/>
      <w:iCs/>
      <w:color w:val="000000" w:themeColor="text1"/>
    </w:rPr>
  </w:style>
  <w:style w:type="character" w:customStyle="1" w:styleId="Overskrift4Tegn">
    <w:name w:val="Overskrift 4 Tegn"/>
    <w:basedOn w:val="Standardskrifttypeiafsni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typeiafsni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typeiafsni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typeiafsni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typeiafsni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typeiafsni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led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k">
    <w:name w:val="Strong"/>
    <w:basedOn w:val="Standardskrifttypeiafsnit"/>
    <w:uiPriority w:val="22"/>
    <w:qFormat/>
    <w:rsid w:val="00FC693F"/>
    <w:rPr>
      <w:b/>
      <w:bCs/>
    </w:rPr>
  </w:style>
  <w:style w:type="character" w:styleId="Fremhv">
    <w:name w:val="Emphasis"/>
    <w:basedOn w:val="Standardskrifttypeiafsnit"/>
    <w:uiPriority w:val="20"/>
    <w:qFormat/>
    <w:rsid w:val="00FC693F"/>
    <w:rPr>
      <w:i/>
      <w:iCs/>
    </w:rPr>
  </w:style>
  <w:style w:type="paragraph" w:styleId="Strktcitat">
    <w:name w:val="Intense Quote"/>
    <w:basedOn w:val="Normal"/>
    <w:next w:val="Normal"/>
    <w:link w:val="Strktc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rktcitatTegn">
    <w:name w:val="Stærkt citat Tegn"/>
    <w:basedOn w:val="Standardskrifttypeiafsnit"/>
    <w:link w:val="Strktcitat"/>
    <w:uiPriority w:val="30"/>
    <w:rsid w:val="00FC693F"/>
    <w:rPr>
      <w:b/>
      <w:bCs/>
      <w:i/>
      <w:iCs/>
      <w:color w:val="4F81BD" w:themeColor="accent1"/>
    </w:rPr>
  </w:style>
  <w:style w:type="character" w:styleId="Svagfremhvning">
    <w:name w:val="Subtle Emphasis"/>
    <w:basedOn w:val="Standardskrifttypeiafsnit"/>
    <w:uiPriority w:val="19"/>
    <w:qFormat/>
    <w:rsid w:val="00FC693F"/>
    <w:rPr>
      <w:i/>
      <w:iCs/>
      <w:color w:val="808080" w:themeColor="text1" w:themeTint="7F"/>
    </w:rPr>
  </w:style>
  <w:style w:type="character" w:styleId="Kraftigfremhvning">
    <w:name w:val="Intense Emphasis"/>
    <w:basedOn w:val="Standardskrifttypeiafsnit"/>
    <w:uiPriority w:val="21"/>
    <w:qFormat/>
    <w:rsid w:val="00FC693F"/>
    <w:rPr>
      <w:b/>
      <w:bCs/>
      <w:i/>
      <w:iCs/>
      <w:color w:val="4F81BD" w:themeColor="accent1"/>
    </w:rPr>
  </w:style>
  <w:style w:type="character" w:styleId="Svaghenvisning">
    <w:name w:val="Subtle Reference"/>
    <w:basedOn w:val="Standardskrifttypeiafsnit"/>
    <w:uiPriority w:val="31"/>
    <w:qFormat/>
    <w:rsid w:val="00FC693F"/>
    <w:rPr>
      <w:smallCaps/>
      <w:color w:val="C0504D" w:themeColor="accent2"/>
      <w:u w:val="single"/>
    </w:rPr>
  </w:style>
  <w:style w:type="character" w:styleId="Kraftighenvisning">
    <w:name w:val="Intense Reference"/>
    <w:basedOn w:val="Standardskrifttypeiafsnit"/>
    <w:uiPriority w:val="32"/>
    <w:qFormat/>
    <w:rsid w:val="00FC693F"/>
    <w:rPr>
      <w:b/>
      <w:bCs/>
      <w:smallCaps/>
      <w:color w:val="C0504D" w:themeColor="accent2"/>
      <w:spacing w:val="5"/>
      <w:u w:val="single"/>
    </w:rPr>
  </w:style>
  <w:style w:type="character" w:styleId="Bogenstitel">
    <w:name w:val="Book Title"/>
    <w:basedOn w:val="Standardskrifttypeiafsnit"/>
    <w:uiPriority w:val="33"/>
    <w:qFormat/>
    <w:rsid w:val="00FC693F"/>
    <w:rPr>
      <w:b/>
      <w:bCs/>
      <w:smallCaps/>
      <w:spacing w:val="5"/>
    </w:rPr>
  </w:style>
  <w:style w:type="paragraph" w:styleId="Overskrift">
    <w:name w:val="TOC Heading"/>
    <w:basedOn w:val="Overskrift1"/>
    <w:next w:val="Normal"/>
    <w:uiPriority w:val="39"/>
    <w:semiHidden/>
    <w:unhideWhenUsed/>
    <w:qFormat/>
    <w:rsid w:val="00FC693F"/>
    <w:pPr>
      <w:outlineLvl w:val="9"/>
    </w:pPr>
  </w:style>
  <w:style w:type="table" w:styleId="Tabel-Gitter">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fremhvningsfarv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fremhvningsfarv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fremhvningsfarv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fremhvningsfarv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fremhvningsfarv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fremhvningsfarv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fremhvningsfarv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fremhvningsfarv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fremhvningsfarv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fremhvningsfarv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gitter">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gitter-fremhvningsfarv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gitter-fremhvningsfarv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gitter-fremhvningsfarv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gitter-fremhvningsfarv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gitter-fremhvningsfarv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kygg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e1-fremhvningsfarv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e1-fremhvningsfarv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e1-fremhvningsfarv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e1-fremhvningsfarv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e1-fremhvningsfarv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itter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itter1-fremhvningsfarv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itter1-fremhvningsfarv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itter1-fremhvningsfarv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itter1-fremhvningsfarv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itter1-fremhvningsfarv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itter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itter3-fremhvningsfarv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itter3-fremhvningsfarv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itter3-fremhvningsfarv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itter3-fremhvningsfarv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itter3-fremhvningsfarv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fremhvningsfarv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fremhvningsfarv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fremhvningsfarv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fremhvningsfarv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fremhvningsfarv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vetskygge">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vetskygge-fremhvningsfarv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vetliste">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vetliste-fremhvningsfarv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vetliste-fremhvningsfarv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vetliste-fremhvningsfarv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vetliste-fremhvningsfarv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vetliste-fremhvningsfarv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vetgitter">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vetgitter-fremhvningsfarv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vetgitter-fremhvningsfarv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vetgitter-fremhvningsfarv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vetgitter-fremhvningsfarv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vetgitter-fremhvningsfarv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645</Words>
  <Characters>3935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David Viftrup</cp:lastModifiedBy>
  <cp:revision>5</cp:revision>
  <dcterms:created xsi:type="dcterms:W3CDTF">2026-10-11T06:14:00Z</dcterms:created>
  <dcterms:modified xsi:type="dcterms:W3CDTF">2026-10-11T06:44:00Z</dcterms:modified>
  <cp:category/>
</cp:coreProperties>
</file>